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40F2F" w14:textId="77777777" w:rsidR="00EA64C1" w:rsidRDefault="00000000">
      <w:pPr>
        <w:spacing w:before="760" w:after="0" w:line="240" w:lineRule="auto"/>
        <w:jc w:val="center"/>
      </w:pPr>
      <w:r>
        <w:rPr>
          <w:b/>
          <w:color w:val="071B3A"/>
          <w:sz w:val="62"/>
        </w:rPr>
        <w:t>KISMET</w:t>
      </w:r>
    </w:p>
    <w:p w14:paraId="40472D6E" w14:textId="77777777" w:rsidR="00EA64C1" w:rsidRDefault="00000000">
      <w:pPr>
        <w:spacing w:after="640" w:line="240" w:lineRule="auto"/>
        <w:jc w:val="center"/>
      </w:pPr>
      <w:r>
        <w:rPr>
          <w:b/>
          <w:color w:val="5EA6A5"/>
          <w:sz w:val="16"/>
        </w:rPr>
        <w:t>V E N T U R E   M A N A G E M E N T</w:t>
      </w:r>
    </w:p>
    <w:p w14:paraId="05A6A703" w14:textId="77777777" w:rsidR="00EA64C1" w:rsidRDefault="00000000">
      <w:pPr>
        <w:pStyle w:val="KismetEyebrow"/>
        <w:spacing w:after="140"/>
        <w:jc w:val="center"/>
      </w:pPr>
      <w:r>
        <w:rPr>
          <w:sz w:val="20"/>
        </w:rPr>
        <w:t>TAX PLANNING</w:t>
      </w:r>
    </w:p>
    <w:p w14:paraId="6561CD98" w14:textId="77777777" w:rsidR="00EA64C1" w:rsidRDefault="00000000">
      <w:pPr>
        <w:pStyle w:val="KismetCoverTitle"/>
        <w:spacing w:after="100"/>
        <w:jc w:val="center"/>
      </w:pPr>
      <w:r>
        <w:rPr>
          <w:sz w:val="58"/>
        </w:rPr>
        <w:t>Strategy Report</w:t>
      </w:r>
    </w:p>
    <w:p w14:paraId="74192033" w14:textId="77777777" w:rsidR="00EA64C1" w:rsidRDefault="00000000">
      <w:pPr>
        <w:pStyle w:val="KismetCoverSubtitle"/>
        <w:spacing w:after="520"/>
        <w:jc w:val="center"/>
      </w:pPr>
      <w:r>
        <w:t>Tax Year 2026 | Editable Planning Reference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EA64C1" w14:paraId="148600B0" w14:textId="77777777">
        <w:trPr>
          <w:tblHeader/>
        </w:trPr>
        <w:tc>
          <w:tcPr>
            <w:tcW w:w="9360" w:type="dxa"/>
            <w:tcBorders>
              <w:top w:val="single" w:sz="4" w:space="0" w:color="5EA6A5"/>
              <w:left w:val="single" w:sz="4" w:space="0" w:color="5EA6A5"/>
              <w:bottom w:val="single" w:sz="4" w:space="0" w:color="5EA6A5"/>
              <w:right w:val="single" w:sz="4" w:space="0" w:color="5EA6A5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F53885" w14:textId="77777777" w:rsidR="00EA64C1" w:rsidRDefault="00000000">
            <w:pPr>
              <w:spacing w:before="100" w:after="100" w:line="252" w:lineRule="auto"/>
              <w:jc w:val="center"/>
            </w:pPr>
            <w:r>
              <w:rPr>
                <w:b/>
                <w:color w:val="FFFFFF"/>
                <w:sz w:val="24"/>
              </w:rPr>
              <w:t>Build with clarity. Grow with intention.</w:t>
            </w:r>
          </w:p>
        </w:tc>
      </w:tr>
    </w:tbl>
    <w:p w14:paraId="73D52685" w14:textId="77777777" w:rsidR="00EA64C1" w:rsidRDefault="00EA64C1">
      <w:pPr>
        <w:spacing w:before="400" w:line="240" w:lineRule="auto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600"/>
        <w:gridCol w:w="6760"/>
      </w:tblGrid>
      <w:tr w:rsidR="00EA64C1" w14:paraId="10544CD0" w14:textId="77777777">
        <w:trPr>
          <w:tblHeader/>
        </w:trPr>
        <w:tc>
          <w:tcPr>
            <w:tcW w:w="260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EAF0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3B134" w14:textId="77777777" w:rsidR="00EA64C1" w:rsidRDefault="00000000">
            <w:pPr>
              <w:spacing w:after="0" w:line="240" w:lineRule="auto"/>
            </w:pPr>
            <w:r>
              <w:rPr>
                <w:b/>
                <w:color w:val="071B3A"/>
                <w:sz w:val="16"/>
              </w:rPr>
              <w:t>PREPARED FOR</w:t>
            </w:r>
          </w:p>
        </w:tc>
        <w:tc>
          <w:tcPr>
            <w:tcW w:w="676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EAF0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21FF85" w14:textId="77777777" w:rsidR="00EA64C1" w:rsidRDefault="00000000">
            <w:pPr>
              <w:spacing w:after="0" w:line="240" w:lineRule="auto"/>
            </w:pPr>
            <w:r>
              <w:rPr>
                <w:sz w:val="18"/>
              </w:rPr>
              <w:t>[Client name / entity]</w:t>
            </w:r>
          </w:p>
        </w:tc>
      </w:tr>
      <w:tr w:rsidR="00EA64C1" w14:paraId="1780ED6A" w14:textId="77777777">
        <w:tc>
          <w:tcPr>
            <w:tcW w:w="260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EAF0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38396" w14:textId="77777777" w:rsidR="00EA64C1" w:rsidRDefault="00000000">
            <w:pPr>
              <w:spacing w:after="0" w:line="240" w:lineRule="auto"/>
            </w:pPr>
            <w:r>
              <w:rPr>
                <w:b/>
                <w:color w:val="071B3A"/>
                <w:sz w:val="16"/>
              </w:rPr>
              <w:t>PRIMARY PLANNING YEAR</w:t>
            </w:r>
          </w:p>
        </w:tc>
        <w:tc>
          <w:tcPr>
            <w:tcW w:w="676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ABBD10" w14:textId="77777777" w:rsidR="00EA64C1" w:rsidRDefault="00000000">
            <w:pPr>
              <w:spacing w:after="0" w:line="240" w:lineRule="auto"/>
            </w:pPr>
            <w:r>
              <w:rPr>
                <w:sz w:val="18"/>
              </w:rPr>
              <w:t>Calendar year 2026</w:t>
            </w:r>
          </w:p>
        </w:tc>
      </w:tr>
      <w:tr w:rsidR="00EA64C1" w14:paraId="5FAA58AE" w14:textId="77777777">
        <w:tc>
          <w:tcPr>
            <w:tcW w:w="260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EAF0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20A82A" w14:textId="77777777" w:rsidR="00EA64C1" w:rsidRDefault="00000000">
            <w:pPr>
              <w:spacing w:after="0" w:line="240" w:lineRule="auto"/>
            </w:pPr>
            <w:r>
              <w:rPr>
                <w:b/>
                <w:color w:val="071B3A"/>
                <w:sz w:val="16"/>
              </w:rPr>
              <w:t>PREPARED BY</w:t>
            </w:r>
          </w:p>
        </w:tc>
        <w:tc>
          <w:tcPr>
            <w:tcW w:w="676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036FD" w14:textId="77777777" w:rsidR="00EA64C1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Kismet Venture Management</w:t>
            </w:r>
          </w:p>
        </w:tc>
      </w:tr>
    </w:tbl>
    <w:p w14:paraId="25190412" w14:textId="77777777" w:rsidR="00EA64C1" w:rsidRDefault="00000000">
      <w:pPr>
        <w:spacing w:before="520" w:after="0" w:line="259" w:lineRule="auto"/>
        <w:jc w:val="center"/>
      </w:pPr>
      <w:r>
        <w:rPr>
          <w:i/>
          <w:color w:val="5D6B82"/>
          <w:sz w:val="18"/>
        </w:rPr>
        <w:t>This editable report identifies planning options to evaluate, not pre-approved tax positions.</w:t>
      </w:r>
    </w:p>
    <w:p w14:paraId="4BBDFFDA" w14:textId="77777777" w:rsidR="00EA64C1" w:rsidRDefault="00000000">
      <w:pPr>
        <w:spacing w:before="120" w:after="0" w:line="240" w:lineRule="auto"/>
        <w:jc w:val="center"/>
      </w:pPr>
      <w:r>
        <w:rPr>
          <w:b/>
          <w:color w:val="5EA6A5"/>
          <w:sz w:val="17"/>
        </w:rPr>
        <w:t>Prepared August 2026</w:t>
      </w:r>
    </w:p>
    <w:p w14:paraId="530D3BD1" w14:textId="77777777" w:rsidR="00EA64C1" w:rsidRDefault="00000000">
      <w:r>
        <w:br w:type="page"/>
      </w:r>
    </w:p>
    <w:p w14:paraId="3DBC90CD" w14:textId="77777777" w:rsidR="00EA64C1" w:rsidRDefault="00000000">
      <w:pPr>
        <w:pStyle w:val="Heading1"/>
        <w:spacing w:before="0" w:after="140"/>
      </w:pPr>
      <w:r>
        <w:rPr>
          <w:rFonts w:ascii="Calibri" w:hAnsi="Calibri"/>
        </w:rPr>
        <w:lastRenderedPageBreak/>
        <w:t>How to Use This Report</w:t>
      </w:r>
    </w:p>
    <w:p w14:paraId="0ED3C14F" w14:textId="77777777" w:rsidR="00EA64C1" w:rsidRDefault="00000000">
      <w:pPr>
        <w:pStyle w:val="Heading2"/>
      </w:pPr>
      <w:r>
        <w:rPr>
          <w:rFonts w:ascii="Calibri" w:hAnsi="Calibri"/>
        </w:rPr>
        <w:t>Ratings Legend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A64C1" w14:paraId="4193587E" w14:textId="77777777">
        <w:trPr>
          <w:tblHeader/>
        </w:trPr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ABB675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OVERALL BENEFIT</w:t>
            </w:r>
          </w:p>
        </w:tc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3A0A4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DIFFICULTY</w:t>
            </w:r>
          </w:p>
        </w:tc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B66A0D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AUDIT RISK</w:t>
            </w:r>
          </w:p>
        </w:tc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0F5096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AGGRESSIVENESS</w:t>
            </w:r>
          </w:p>
        </w:tc>
      </w:tr>
      <w:tr w:rsidR="00EA64C1" w14:paraId="6826F87A" w14:textId="77777777"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B6B6FC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1 = limited</w:t>
            </w:r>
            <w:r>
              <w:rPr>
                <w:sz w:val="16"/>
              </w:rPr>
              <w:br/>
              <w:t>5 = potentially material</w:t>
            </w:r>
          </w:p>
        </w:tc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96B9E4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1 = simple</w:t>
            </w:r>
            <w:r>
              <w:rPr>
                <w:sz w:val="16"/>
              </w:rPr>
              <w:br/>
              <w:t>5 = specialist-heavy</w:t>
            </w:r>
          </w:p>
        </w:tc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661939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1 = routine</w:t>
            </w:r>
            <w:r>
              <w:rPr>
                <w:sz w:val="16"/>
              </w:rPr>
              <w:br/>
              <w:t>5 = fact-intensive</w:t>
            </w:r>
          </w:p>
        </w:tc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E27ECB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1 = conventional</w:t>
            </w:r>
            <w:r>
              <w:rPr>
                <w:sz w:val="16"/>
              </w:rPr>
              <w:br/>
              <w:t>5 = advanced / unusual</w:t>
            </w:r>
          </w:p>
        </w:tc>
      </w:tr>
    </w:tbl>
    <w:p w14:paraId="3A174C25" w14:textId="77777777" w:rsidR="00EA64C1" w:rsidRDefault="00000000">
      <w:pPr>
        <w:pStyle w:val="Heading2"/>
      </w:pPr>
      <w:r>
        <w:rPr>
          <w:rFonts w:ascii="Calibri" w:hAnsi="Calibri"/>
        </w:rPr>
        <w:t>Entity Applicability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A64C1" w14:paraId="044FA283" w14:textId="77777777">
        <w:trPr>
          <w:tblHeader/>
        </w:trPr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5EA6A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D0E988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YES</w:t>
            </w:r>
          </w:p>
        </w:tc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5EA6A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BC1D3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OWNER</w:t>
            </w:r>
          </w:p>
        </w:tc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5EA6A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79711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LIMITED</w:t>
            </w:r>
          </w:p>
        </w:tc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5EA6A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B31BB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NO</w:t>
            </w:r>
          </w:p>
        </w:tc>
      </w:tr>
      <w:tr w:rsidR="00EA64C1" w14:paraId="53DA8220" w14:textId="77777777"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1A2B51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Entity can implement or claim the strategy directly.</w:t>
            </w:r>
          </w:p>
        </w:tc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FCB750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Benefit is generally claimed on the owner or employee return.</w:t>
            </w:r>
          </w:p>
        </w:tc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115FB1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Potentially available with entity-specific restrictions.</w:t>
            </w:r>
          </w:p>
        </w:tc>
        <w:tc>
          <w:tcPr>
            <w:tcW w:w="2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90C4CC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Not generally available for that entity type.</w:t>
            </w:r>
          </w:p>
        </w:tc>
      </w:tr>
    </w:tbl>
    <w:p w14:paraId="00BEF26D" w14:textId="77777777" w:rsidR="00EA64C1" w:rsidRDefault="00000000">
      <w:pPr>
        <w:pStyle w:val="Heading2"/>
      </w:pPr>
      <w:r>
        <w:rPr>
          <w:rFonts w:ascii="Calibri" w:hAnsi="Calibri"/>
        </w:rPr>
        <w:t>2026 Planning Guardrails</w:t>
      </w:r>
    </w:p>
    <w:p w14:paraId="3866E92F" w14:textId="77777777" w:rsidR="00EA64C1" w:rsidRDefault="00000000">
      <w:pPr>
        <w:pStyle w:val="ListBullet"/>
      </w:pPr>
      <w:r>
        <w:rPr>
          <w:sz w:val="19"/>
        </w:rPr>
        <w:t>Tax savings are not prefilled. Model the federal, state, payroll, and cash-flow impact using the client facts before presenting a recommendation.</w:t>
      </w:r>
    </w:p>
    <w:p w14:paraId="5F0C82A5" w14:textId="77777777" w:rsidR="00EA64C1" w:rsidRDefault="00000000">
      <w:pPr>
        <w:pStyle w:val="ListBullet"/>
      </w:pPr>
      <w:r>
        <w:rPr>
          <w:sz w:val="19"/>
        </w:rPr>
        <w:t>Deadlines assume a calendar-year taxpayer unless the page says otherwise. Entity elections, retirement plans, and sale structures often require action before year-end.</w:t>
      </w:r>
    </w:p>
    <w:p w14:paraId="7DFCDFAF" w14:textId="77777777" w:rsidR="00EA64C1" w:rsidRDefault="00000000">
      <w:pPr>
        <w:pStyle w:val="ListBullet"/>
      </w:pPr>
      <w:r>
        <w:rPr>
          <w:sz w:val="19"/>
        </w:rPr>
        <w:t>State conformity, entity-law constraints, plan documents, valuations, and contemporaneous records can change the answer. Retain support for every material strategy.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EA64C1" w14:paraId="4933A2D9" w14:textId="77777777">
        <w:trPr>
          <w:tblHeader/>
        </w:trPr>
        <w:tc>
          <w:tcPr>
            <w:tcW w:w="9360" w:type="dxa"/>
            <w:tcBorders>
              <w:top w:val="single" w:sz="4" w:space="0" w:color="5EA6A5"/>
              <w:left w:val="single" w:sz="4" w:space="0" w:color="5EA6A5"/>
              <w:bottom w:val="single" w:sz="4" w:space="0" w:color="5EA6A5"/>
              <w:right w:val="single" w:sz="4" w:space="0" w:color="5EA6A5"/>
            </w:tcBorders>
            <w:shd w:val="clear" w:color="auto" w:fill="E9F5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1E446B" w14:textId="77777777" w:rsidR="00EA64C1" w:rsidRDefault="00000000">
            <w:pPr>
              <w:spacing w:before="20" w:after="20" w:line="252" w:lineRule="auto"/>
            </w:pPr>
            <w:r>
              <w:rPr>
                <w:b/>
                <w:color w:val="071B3A"/>
                <w:sz w:val="18"/>
              </w:rPr>
              <w:t xml:space="preserve">Planning disclaimer: </w:t>
            </w:r>
            <w:r>
              <w:rPr>
                <w:sz w:val="18"/>
              </w:rPr>
              <w:t>This report is an educational planning tool, not a tax opinion, legal advice, or a guarantee of tax savings. Confirm current law and client eligibility before implementation.</w:t>
            </w:r>
          </w:p>
        </w:tc>
      </w:tr>
    </w:tbl>
    <w:p w14:paraId="5CFB40D6" w14:textId="77777777" w:rsidR="00EA64C1" w:rsidRDefault="00000000">
      <w:r>
        <w:br w:type="page"/>
      </w:r>
    </w:p>
    <w:p w14:paraId="2DF34210" w14:textId="77777777" w:rsidR="00EA64C1" w:rsidRDefault="00000000">
      <w:pPr>
        <w:pStyle w:val="Heading1"/>
        <w:spacing w:before="0" w:after="80"/>
      </w:pPr>
      <w:r>
        <w:rPr>
          <w:rFonts w:ascii="Calibri" w:hAnsi="Calibri"/>
        </w:rPr>
        <w:lastRenderedPageBreak/>
        <w:t>Table of Contents</w:t>
      </w:r>
    </w:p>
    <w:p w14:paraId="683A1E00" w14:textId="77777777" w:rsidR="00EA64C1" w:rsidRDefault="00000000">
      <w:pPr>
        <w:pStyle w:val="KismetSmall"/>
      </w:pPr>
      <w:r>
        <w:t>Page references reflect this edition of the report. Use the Word Navigation Pane for heading-based navigation after edits.</w:t>
      </w:r>
    </w:p>
    <w:p w14:paraId="189DDD10" w14:textId="77777777" w:rsidR="00EA64C1" w:rsidRDefault="00000000">
      <w:pPr>
        <w:pStyle w:val="Heading2"/>
        <w:spacing w:before="120" w:after="80"/>
      </w:pPr>
      <w:r>
        <w:rPr>
          <w:rFonts w:ascii="Calibri" w:hAnsi="Calibri"/>
        </w:rPr>
        <w:t>Report Overview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8020"/>
        <w:gridCol w:w="1340"/>
      </w:tblGrid>
      <w:tr w:rsidR="00EA64C1" w14:paraId="479921F4" w14:textId="77777777">
        <w:trPr>
          <w:tblHeader/>
        </w:trPr>
        <w:tc>
          <w:tcPr>
            <w:tcW w:w="802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367A56" w14:textId="77777777" w:rsidR="00EA64C1" w:rsidRDefault="00000000">
            <w:pPr>
              <w:spacing w:after="0" w:line="240" w:lineRule="auto"/>
            </w:pPr>
            <w:r>
              <w:rPr>
                <w:b/>
                <w:color w:val="FFFFFF"/>
                <w:sz w:val="16"/>
              </w:rPr>
              <w:t>STRATEGY</w:t>
            </w:r>
          </w:p>
        </w:tc>
        <w:tc>
          <w:tcPr>
            <w:tcW w:w="1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00390A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PAGE</w:t>
            </w:r>
          </w:p>
        </w:tc>
      </w:tr>
      <w:tr w:rsidR="00EA64C1" w14:paraId="30FBEA93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58B86814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How to Use This Report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357DAA52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2</w:t>
            </w:r>
          </w:p>
        </w:tc>
      </w:tr>
      <w:tr w:rsidR="00EA64C1" w14:paraId="3FDE2D21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B62DAA0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Table of Contents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A6A0212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3</w:t>
            </w:r>
          </w:p>
        </w:tc>
      </w:tr>
      <w:tr w:rsidR="00EA64C1" w14:paraId="72FDCF29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976147E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Potential Savings Summary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51FD06E1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5</w:t>
            </w:r>
          </w:p>
        </w:tc>
      </w:tr>
    </w:tbl>
    <w:p w14:paraId="0E01478B" w14:textId="77777777" w:rsidR="00EA64C1" w:rsidRDefault="00000000">
      <w:pPr>
        <w:pStyle w:val="Heading2"/>
        <w:spacing w:before="120" w:after="80"/>
      </w:pPr>
      <w:r>
        <w:rPr>
          <w:rFonts w:ascii="Calibri" w:hAnsi="Calibri"/>
        </w:rPr>
        <w:t>Business Strategies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8020"/>
        <w:gridCol w:w="1340"/>
      </w:tblGrid>
      <w:tr w:rsidR="00EA64C1" w14:paraId="754E130E" w14:textId="77777777">
        <w:trPr>
          <w:tblHeader/>
        </w:trPr>
        <w:tc>
          <w:tcPr>
            <w:tcW w:w="802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22457C" w14:textId="77777777" w:rsidR="00EA64C1" w:rsidRDefault="00000000">
            <w:pPr>
              <w:spacing w:after="0" w:line="240" w:lineRule="auto"/>
            </w:pPr>
            <w:r>
              <w:rPr>
                <w:b/>
                <w:color w:val="FFFFFF"/>
                <w:sz w:val="16"/>
              </w:rPr>
              <w:t>STRATEGY</w:t>
            </w:r>
          </w:p>
        </w:tc>
        <w:tc>
          <w:tcPr>
            <w:tcW w:w="1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08368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PAGE</w:t>
            </w:r>
          </w:p>
        </w:tc>
      </w:tr>
      <w:tr w:rsidR="00EA64C1" w14:paraId="2268965E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F3DFDF7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14-Day Home Rental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844CC91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6</w:t>
            </w:r>
          </w:p>
        </w:tc>
      </w:tr>
      <w:tr w:rsidR="00EA64C1" w14:paraId="79E27769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15D56C3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401(k) Plan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4D63CAD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7</w:t>
            </w:r>
          </w:p>
        </w:tc>
      </w:tr>
      <w:tr w:rsidR="00EA64C1" w14:paraId="30C74EFA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000BEAB0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Business Accountable Plans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64371902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8</w:t>
            </w:r>
          </w:p>
        </w:tc>
      </w:tr>
      <w:tr w:rsidR="00EA64C1" w14:paraId="11621A0D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692D877D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Charitable Contributions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2B3A8DE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9</w:t>
            </w:r>
          </w:p>
        </w:tc>
      </w:tr>
      <w:tr w:rsidR="00EA64C1" w14:paraId="4CB4A275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7B8E308C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Section 179 Deduction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8E9642C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10</w:t>
            </w:r>
          </w:p>
        </w:tc>
      </w:tr>
      <w:tr w:rsidR="00EA64C1" w14:paraId="6C771103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8C93E5E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Employing Children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6B6A6A25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11</w:t>
            </w:r>
          </w:p>
        </w:tc>
      </w:tr>
      <w:tr w:rsidR="00EA64C1" w14:paraId="069560D2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ED49ECC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Expense Acceleration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DDCB195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12</w:t>
            </w:r>
          </w:p>
        </w:tc>
      </w:tr>
      <w:tr w:rsidR="00EA64C1" w14:paraId="3A890BAE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BB01AE7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Health Savings Accounts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E04D5C1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13</w:t>
            </w:r>
          </w:p>
        </w:tc>
      </w:tr>
      <w:tr w:rsidR="00EA64C1" w14:paraId="7BE3948E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3691DF63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Home Office Deductions For Sole Proprietorships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533B641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14</w:t>
            </w:r>
          </w:p>
        </w:tc>
      </w:tr>
      <w:tr w:rsidR="00EA64C1" w14:paraId="7E23BDB8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64C70D96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S-Corp Election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3611307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15</w:t>
            </w:r>
          </w:p>
        </w:tc>
      </w:tr>
      <w:tr w:rsidR="00EA64C1" w14:paraId="73D03401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3C32354E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S-Corp Health Insurance For 2%+ Shareholders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6D33B5BE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16</w:t>
            </w:r>
          </w:p>
        </w:tc>
      </w:tr>
      <w:tr w:rsidR="00EA64C1" w14:paraId="6ACE8DC6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567FF7B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SEP IRA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51C0C190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17</w:t>
            </w:r>
          </w:p>
        </w:tc>
      </w:tr>
      <w:tr w:rsidR="00EA64C1" w14:paraId="41834254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121C451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Missed Business Deductions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577513BE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18</w:t>
            </w:r>
          </w:p>
        </w:tc>
      </w:tr>
      <w:tr w:rsidR="00EA64C1" w14:paraId="24C86BD5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63947657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Business Vehicle And Mileage Reimbursement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518CE20A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19</w:t>
            </w:r>
          </w:p>
        </w:tc>
      </w:tr>
      <w:tr w:rsidR="00EA64C1" w14:paraId="30A11048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37DD87D2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Self-Employed Health Insurance Deduction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8B05B08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20</w:t>
            </w:r>
          </w:p>
        </w:tc>
      </w:tr>
      <w:tr w:rsidR="00EA64C1" w14:paraId="00D10F50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DFA73D9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Employer Childcare And Dependent-Care Benefits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7C3B0F90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21</w:t>
            </w:r>
          </w:p>
        </w:tc>
      </w:tr>
      <w:tr w:rsidR="00EA64C1" w14:paraId="4F348BB2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6F45173F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QBI Deduction (199A)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899CC04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22</w:t>
            </w:r>
          </w:p>
        </w:tc>
      </w:tr>
      <w:tr w:rsidR="00EA64C1" w14:paraId="72A89654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DE00821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R&amp;D Credit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06A49303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23</w:t>
            </w:r>
          </w:p>
        </w:tc>
      </w:tr>
    </w:tbl>
    <w:p w14:paraId="1D5EE208" w14:textId="77777777" w:rsidR="00EA64C1" w:rsidRDefault="00EA64C1">
      <w:pPr>
        <w:sectPr w:rsidR="00EA64C1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08" w:footer="708" w:gutter="0"/>
          <w:cols w:space="720"/>
          <w:titlePg/>
          <w:docGrid w:linePitch="360"/>
        </w:sectPr>
      </w:pPr>
    </w:p>
    <w:p w14:paraId="5C120A45" w14:textId="77777777" w:rsidR="00EA64C1" w:rsidRDefault="00000000">
      <w:pPr>
        <w:pStyle w:val="Heading1"/>
        <w:spacing w:before="0" w:after="80"/>
      </w:pPr>
      <w:r>
        <w:rPr>
          <w:rFonts w:ascii="Calibri" w:hAnsi="Calibri"/>
        </w:rPr>
        <w:lastRenderedPageBreak/>
        <w:t>Table of Contents - Continued</w:t>
      </w:r>
    </w:p>
    <w:p w14:paraId="3B20F034" w14:textId="77777777" w:rsidR="00EA64C1" w:rsidRDefault="00000000">
      <w:pPr>
        <w:pStyle w:val="Heading2"/>
        <w:spacing w:before="120" w:after="80"/>
      </w:pPr>
      <w:r>
        <w:rPr>
          <w:rFonts w:ascii="Calibri" w:hAnsi="Calibri"/>
        </w:rPr>
        <w:t>Real Estate Strategies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8020"/>
        <w:gridCol w:w="1340"/>
      </w:tblGrid>
      <w:tr w:rsidR="00EA64C1" w14:paraId="615D1969" w14:textId="77777777">
        <w:trPr>
          <w:tblHeader/>
        </w:trPr>
        <w:tc>
          <w:tcPr>
            <w:tcW w:w="802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BCD62" w14:textId="77777777" w:rsidR="00EA64C1" w:rsidRDefault="00000000">
            <w:pPr>
              <w:spacing w:after="0" w:line="240" w:lineRule="auto"/>
            </w:pPr>
            <w:r>
              <w:rPr>
                <w:b/>
                <w:color w:val="FFFFFF"/>
                <w:sz w:val="16"/>
              </w:rPr>
              <w:t>STRATEGY</w:t>
            </w:r>
          </w:p>
        </w:tc>
        <w:tc>
          <w:tcPr>
            <w:tcW w:w="1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32847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PAGE</w:t>
            </w:r>
          </w:p>
        </w:tc>
      </w:tr>
      <w:tr w:rsidR="00EA64C1" w14:paraId="0C9D9D4C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BA4C762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1031 Exchange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0B81C635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24</w:t>
            </w:r>
          </w:p>
        </w:tc>
      </w:tr>
      <w:tr w:rsidR="00EA64C1" w14:paraId="350C5DD8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5A82F60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Bonus Depreciation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702E2347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25</w:t>
            </w:r>
          </w:p>
        </w:tc>
      </w:tr>
      <w:tr w:rsidR="00EA64C1" w14:paraId="66498C2D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3678F578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Cost Segregation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596DD9CE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26</w:t>
            </w:r>
          </w:p>
        </w:tc>
      </w:tr>
      <w:tr w:rsidR="00EA64C1" w14:paraId="6BECE3EC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E937A1B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Installment Sale Taxes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6AC03CE4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27</w:t>
            </w:r>
          </w:p>
        </w:tc>
      </w:tr>
      <w:tr w:rsidR="00EA64C1" w14:paraId="45634AFF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79F0C08E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REPS Strategy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417F01D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28</w:t>
            </w:r>
          </w:p>
        </w:tc>
      </w:tr>
      <w:tr w:rsidR="00EA64C1" w14:paraId="66176836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0D40F6E6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Syndication Taxes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04C9C5D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29</w:t>
            </w:r>
          </w:p>
        </w:tc>
      </w:tr>
    </w:tbl>
    <w:p w14:paraId="7009D427" w14:textId="77777777" w:rsidR="00EA64C1" w:rsidRDefault="00000000">
      <w:pPr>
        <w:pStyle w:val="Heading2"/>
        <w:spacing w:before="120" w:after="80"/>
      </w:pPr>
      <w:r>
        <w:rPr>
          <w:rFonts w:ascii="Calibri" w:hAnsi="Calibri"/>
        </w:rPr>
        <w:t>Wealth Strategies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8020"/>
        <w:gridCol w:w="1340"/>
      </w:tblGrid>
      <w:tr w:rsidR="00EA64C1" w14:paraId="51D0737B" w14:textId="77777777">
        <w:trPr>
          <w:tblHeader/>
        </w:trPr>
        <w:tc>
          <w:tcPr>
            <w:tcW w:w="802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1CCB23" w14:textId="77777777" w:rsidR="00EA64C1" w:rsidRDefault="00000000">
            <w:pPr>
              <w:spacing w:after="0" w:line="240" w:lineRule="auto"/>
            </w:pPr>
            <w:r>
              <w:rPr>
                <w:b/>
                <w:color w:val="FFFFFF"/>
                <w:sz w:val="16"/>
              </w:rPr>
              <w:t>STRATEGY</w:t>
            </w:r>
          </w:p>
        </w:tc>
        <w:tc>
          <w:tcPr>
            <w:tcW w:w="134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A9D801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PAGE</w:t>
            </w:r>
          </w:p>
        </w:tc>
      </w:tr>
      <w:tr w:rsidR="00EA64C1" w14:paraId="003C77D8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4EB1CB6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CRT Strategy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0AB94298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30</w:t>
            </w:r>
          </w:p>
        </w:tc>
      </w:tr>
      <w:tr w:rsidR="00EA64C1" w14:paraId="23C1C9FB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ACE5CE8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Child And Dependent Care Tax Credit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9CEF60A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31</w:t>
            </w:r>
          </w:p>
        </w:tc>
      </w:tr>
      <w:tr w:rsidR="00EA64C1" w14:paraId="73A8BB0B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5C6E6EAF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Education Tax Credits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3991AE0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32</w:t>
            </w:r>
          </w:p>
        </w:tc>
      </w:tr>
      <w:tr w:rsidR="00EA64C1" w14:paraId="0DB868F5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B1C93A0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Family Limited Partnership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02583A12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33</w:t>
            </w:r>
          </w:p>
        </w:tc>
      </w:tr>
      <w:tr w:rsidR="00EA64C1" w14:paraId="405E334B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769F3D1E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HSA Strategy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55F8AEFE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34</w:t>
            </w:r>
          </w:p>
        </w:tc>
      </w:tr>
      <w:tr w:rsidR="00EA64C1" w14:paraId="4151B826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78E2A919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Traditional IRA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A7E10A8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35</w:t>
            </w:r>
          </w:p>
        </w:tc>
      </w:tr>
      <w:tr w:rsidR="00EA64C1" w14:paraId="523932E5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77126FB4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Roth IRA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9544DCB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36</w:t>
            </w:r>
          </w:p>
        </w:tc>
      </w:tr>
      <w:tr w:rsidR="00EA64C1" w14:paraId="4551C4F9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77626656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Mega Backdoor Roth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4FCE7B5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37</w:t>
            </w:r>
          </w:p>
        </w:tc>
      </w:tr>
      <w:tr w:rsidR="00EA64C1" w14:paraId="44D93D14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6CFE6377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Moonlighting Structure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763AB25B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38</w:t>
            </w:r>
          </w:p>
        </w:tc>
      </w:tr>
      <w:tr w:rsidR="00EA64C1" w14:paraId="6AE3D400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5D08F105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QSBS (1202)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3B1334F8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39</w:t>
            </w:r>
          </w:p>
        </w:tc>
      </w:tr>
      <w:tr w:rsidR="00EA64C1" w14:paraId="6A852554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148EFE6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Roth Conversions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628139D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40</w:t>
            </w:r>
          </w:p>
        </w:tc>
      </w:tr>
      <w:tr w:rsidR="00EA64C1" w14:paraId="58223580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10F609AB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Tax-Loss Harvesting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9DDAC27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41</w:t>
            </w:r>
          </w:p>
        </w:tc>
      </w:tr>
      <w:tr w:rsidR="00EA64C1" w14:paraId="103F05EB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336B4778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Donor-Advised Fund &amp; Charitable Bunching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35A18383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42</w:t>
            </w:r>
          </w:p>
        </w:tc>
      </w:tr>
      <w:tr w:rsidR="00EA64C1" w14:paraId="37154A15" w14:textId="77777777">
        <w:tc>
          <w:tcPr>
            <w:tcW w:w="802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22E83586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Estate &amp; Gift Exemption Planning</w:t>
            </w:r>
          </w:p>
        </w:tc>
        <w:tc>
          <w:tcPr>
            <w:tcW w:w="1340" w:type="dxa"/>
            <w:tcMar>
              <w:top w:w="42" w:type="dxa"/>
              <w:left w:w="120" w:type="dxa"/>
              <w:bottom w:w="42" w:type="dxa"/>
              <w:right w:w="120" w:type="dxa"/>
            </w:tcMar>
          </w:tcPr>
          <w:p w14:paraId="415A0F99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43</w:t>
            </w:r>
          </w:p>
        </w:tc>
      </w:tr>
    </w:tbl>
    <w:p w14:paraId="5CD2CD3B" w14:textId="77777777" w:rsidR="00EA64C1" w:rsidRDefault="00000000">
      <w:pPr>
        <w:pStyle w:val="KismetSmall"/>
        <w:jc w:val="right"/>
      </w:pPr>
      <w:r>
        <w:t>This report includes 38 strategy profiles across three planning areas.</w:t>
      </w:r>
    </w:p>
    <w:p w14:paraId="1E182781" w14:textId="77777777" w:rsidR="00EA64C1" w:rsidRDefault="00000000">
      <w:r>
        <w:br w:type="page"/>
      </w:r>
    </w:p>
    <w:p w14:paraId="1FB035E4" w14:textId="77777777" w:rsidR="00EA64C1" w:rsidRDefault="00000000">
      <w:pPr>
        <w:pStyle w:val="Heading1"/>
        <w:spacing w:before="0" w:after="80"/>
      </w:pPr>
      <w:r>
        <w:rPr>
          <w:rFonts w:ascii="Calibri" w:hAnsi="Calibri"/>
        </w:rPr>
        <w:lastRenderedPageBreak/>
        <w:t>Potential Savings Summary</w:t>
      </w:r>
    </w:p>
    <w:p w14:paraId="46101DE1" w14:textId="0B69D2F2" w:rsidR="00EA64C1" w:rsidRDefault="00EA64C1">
      <w:pPr>
        <w:pStyle w:val="KismetStrategyBody"/>
      </w:pP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A64C1" w14:paraId="32EC032F" w14:textId="77777777">
        <w:trPr>
          <w:tblHeader/>
        </w:trPr>
        <w:tc>
          <w:tcPr>
            <w:tcW w:w="312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572776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BUSINESS PLANNING</w:t>
            </w:r>
          </w:p>
        </w:tc>
        <w:tc>
          <w:tcPr>
            <w:tcW w:w="312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91DB31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REAL ESTATE PLANNING</w:t>
            </w:r>
          </w:p>
        </w:tc>
        <w:tc>
          <w:tcPr>
            <w:tcW w:w="312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92D46D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WEALTH PLANNING</w:t>
            </w:r>
          </w:p>
        </w:tc>
      </w:tr>
      <w:tr w:rsidR="00EA64C1" w14:paraId="353E9381" w14:textId="77777777">
        <w:tc>
          <w:tcPr>
            <w:tcW w:w="312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EAF0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2F4A6" w14:textId="77777777" w:rsidR="00EA64C1" w:rsidRDefault="00000000">
            <w:pPr>
              <w:spacing w:before="20" w:after="20" w:line="240" w:lineRule="auto"/>
              <w:jc w:val="center"/>
            </w:pPr>
            <w:r>
              <w:rPr>
                <w:b/>
                <w:color w:val="071B3A"/>
                <w:sz w:val="18"/>
              </w:rPr>
              <w:t>Estimated annual savings</w:t>
            </w:r>
            <w:r>
              <w:rPr>
                <w:b/>
                <w:color w:val="071B3A"/>
                <w:sz w:val="18"/>
              </w:rPr>
              <w:br/>
              <w:t>$________________</w:t>
            </w:r>
          </w:p>
        </w:tc>
        <w:tc>
          <w:tcPr>
            <w:tcW w:w="312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EAF0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B03E39" w14:textId="77777777" w:rsidR="00EA64C1" w:rsidRDefault="00000000">
            <w:pPr>
              <w:spacing w:before="20" w:after="20" w:line="240" w:lineRule="auto"/>
              <w:jc w:val="center"/>
            </w:pPr>
            <w:r>
              <w:rPr>
                <w:b/>
                <w:color w:val="071B3A"/>
                <w:sz w:val="18"/>
              </w:rPr>
              <w:t>Estimated annual savings</w:t>
            </w:r>
            <w:r>
              <w:rPr>
                <w:b/>
                <w:color w:val="071B3A"/>
                <w:sz w:val="18"/>
              </w:rPr>
              <w:br/>
              <w:t>$________________</w:t>
            </w:r>
          </w:p>
        </w:tc>
        <w:tc>
          <w:tcPr>
            <w:tcW w:w="312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EAF0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4FFA35" w14:textId="77777777" w:rsidR="00EA64C1" w:rsidRDefault="00000000">
            <w:pPr>
              <w:spacing w:before="20" w:after="20" w:line="240" w:lineRule="auto"/>
              <w:jc w:val="center"/>
            </w:pPr>
            <w:r>
              <w:rPr>
                <w:b/>
                <w:color w:val="071B3A"/>
                <w:sz w:val="18"/>
              </w:rPr>
              <w:t>Estimated annual savings</w:t>
            </w:r>
            <w:r>
              <w:rPr>
                <w:b/>
                <w:color w:val="071B3A"/>
                <w:sz w:val="18"/>
              </w:rPr>
              <w:br/>
              <w:t>$________________</w:t>
            </w:r>
          </w:p>
        </w:tc>
      </w:tr>
    </w:tbl>
    <w:p w14:paraId="3CAD83F2" w14:textId="77777777" w:rsidR="00EA64C1" w:rsidRDefault="00000000">
      <w:pPr>
        <w:pStyle w:val="Heading2"/>
      </w:pPr>
      <w:r>
        <w:rPr>
          <w:rFonts w:ascii="Calibri" w:hAnsi="Calibri"/>
        </w:rPr>
        <w:t>Highest-Value Strategies to Model First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260"/>
        <w:gridCol w:w="1550"/>
        <w:gridCol w:w="2220"/>
        <w:gridCol w:w="1330"/>
      </w:tblGrid>
      <w:tr w:rsidR="00EA64C1" w14:paraId="71ABCBD1" w14:textId="77777777">
        <w:trPr>
          <w:tblHeader/>
        </w:trPr>
        <w:tc>
          <w:tcPr>
            <w:tcW w:w="426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ABAAB6" w14:textId="77777777" w:rsidR="00EA64C1" w:rsidRDefault="00000000">
            <w:pPr>
              <w:spacing w:after="0" w:line="240" w:lineRule="auto"/>
            </w:pPr>
            <w:r>
              <w:rPr>
                <w:b/>
                <w:color w:val="FFFFFF"/>
                <w:sz w:val="15"/>
              </w:rPr>
              <w:t>STRATEGY</w:t>
            </w:r>
          </w:p>
        </w:tc>
        <w:tc>
          <w:tcPr>
            <w:tcW w:w="155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C0F31D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POTENTIAL</w:t>
            </w:r>
          </w:p>
        </w:tc>
        <w:tc>
          <w:tcPr>
            <w:tcW w:w="222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3B880F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EST. 2026 SAVINGS</w:t>
            </w:r>
          </w:p>
        </w:tc>
        <w:tc>
          <w:tcPr>
            <w:tcW w:w="1330" w:type="dxa"/>
            <w:tcBorders>
              <w:top w:val="single" w:sz="4" w:space="0" w:color="D7DEE8"/>
              <w:left w:val="single" w:sz="4" w:space="0" w:color="D7DEE8"/>
              <w:bottom w:val="single" w:sz="4" w:space="0" w:color="D7DEE8"/>
              <w:right w:val="single" w:sz="4" w:space="0" w:color="D7DEE8"/>
            </w:tcBorders>
            <w:shd w:val="clear" w:color="auto" w:fill="071B3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DF9033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STATUS</w:t>
            </w:r>
          </w:p>
        </w:tc>
      </w:tr>
      <w:tr w:rsidR="00EA64C1" w14:paraId="49462735" w14:textId="77777777">
        <w:tc>
          <w:tcPr>
            <w:tcW w:w="426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66B70237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401(k) Plan</w:t>
            </w:r>
          </w:p>
        </w:tc>
        <w:tc>
          <w:tcPr>
            <w:tcW w:w="155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15DCEA66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HIGH</w:t>
            </w:r>
          </w:p>
        </w:tc>
        <w:tc>
          <w:tcPr>
            <w:tcW w:w="222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57190C8A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$____________</w:t>
            </w:r>
          </w:p>
        </w:tc>
        <w:tc>
          <w:tcPr>
            <w:tcW w:w="133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770300E4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[  ]</w:t>
            </w:r>
          </w:p>
        </w:tc>
      </w:tr>
      <w:tr w:rsidR="00EA64C1" w14:paraId="15FF370E" w14:textId="77777777">
        <w:tc>
          <w:tcPr>
            <w:tcW w:w="426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235B0A2D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S-Corp Election</w:t>
            </w:r>
          </w:p>
        </w:tc>
        <w:tc>
          <w:tcPr>
            <w:tcW w:w="155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76A225BA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HIGH</w:t>
            </w:r>
          </w:p>
        </w:tc>
        <w:tc>
          <w:tcPr>
            <w:tcW w:w="222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458E586A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$____________</w:t>
            </w:r>
          </w:p>
        </w:tc>
        <w:tc>
          <w:tcPr>
            <w:tcW w:w="133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00E2C07D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[  ]</w:t>
            </w:r>
          </w:p>
        </w:tc>
      </w:tr>
      <w:tr w:rsidR="00EA64C1" w14:paraId="6742DA07" w14:textId="77777777">
        <w:tc>
          <w:tcPr>
            <w:tcW w:w="426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7AEFDE0A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Section 179 Deduction</w:t>
            </w:r>
          </w:p>
        </w:tc>
        <w:tc>
          <w:tcPr>
            <w:tcW w:w="155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5F2615B0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HIGH</w:t>
            </w:r>
          </w:p>
        </w:tc>
        <w:tc>
          <w:tcPr>
            <w:tcW w:w="222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531AE052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$____________</w:t>
            </w:r>
          </w:p>
        </w:tc>
        <w:tc>
          <w:tcPr>
            <w:tcW w:w="133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491C8C65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[  ]</w:t>
            </w:r>
          </w:p>
        </w:tc>
      </w:tr>
      <w:tr w:rsidR="00EA64C1" w14:paraId="69AF850A" w14:textId="77777777">
        <w:tc>
          <w:tcPr>
            <w:tcW w:w="426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0AB3287F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Cost Segregation</w:t>
            </w:r>
          </w:p>
        </w:tc>
        <w:tc>
          <w:tcPr>
            <w:tcW w:w="155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16253D79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VERY HIGH</w:t>
            </w:r>
          </w:p>
        </w:tc>
        <w:tc>
          <w:tcPr>
            <w:tcW w:w="222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2DB3FA50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$____________</w:t>
            </w:r>
          </w:p>
        </w:tc>
        <w:tc>
          <w:tcPr>
            <w:tcW w:w="133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6C96A11B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[  ]</w:t>
            </w:r>
          </w:p>
        </w:tc>
      </w:tr>
      <w:tr w:rsidR="00EA64C1" w14:paraId="109BD57B" w14:textId="77777777">
        <w:tc>
          <w:tcPr>
            <w:tcW w:w="426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0D8FB0C5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1031 Exchange</w:t>
            </w:r>
          </w:p>
        </w:tc>
        <w:tc>
          <w:tcPr>
            <w:tcW w:w="155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5C7D2AC4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VERY HIGH</w:t>
            </w:r>
          </w:p>
        </w:tc>
        <w:tc>
          <w:tcPr>
            <w:tcW w:w="222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48DE79B1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$____________</w:t>
            </w:r>
          </w:p>
        </w:tc>
        <w:tc>
          <w:tcPr>
            <w:tcW w:w="133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19EF6900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[  ]</w:t>
            </w:r>
          </w:p>
        </w:tc>
      </w:tr>
      <w:tr w:rsidR="00EA64C1" w14:paraId="7D8E81B0" w14:textId="77777777">
        <w:tc>
          <w:tcPr>
            <w:tcW w:w="426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4559972A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PTET Workaround</w:t>
            </w:r>
          </w:p>
        </w:tc>
        <w:tc>
          <w:tcPr>
            <w:tcW w:w="155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19090B0A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HIGH</w:t>
            </w:r>
          </w:p>
        </w:tc>
        <w:tc>
          <w:tcPr>
            <w:tcW w:w="222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0AF93DE0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$____________</w:t>
            </w:r>
          </w:p>
        </w:tc>
        <w:tc>
          <w:tcPr>
            <w:tcW w:w="133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16C7798B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[  ]</w:t>
            </w:r>
          </w:p>
        </w:tc>
      </w:tr>
      <w:tr w:rsidR="00EA64C1" w14:paraId="3CC14AD5" w14:textId="77777777">
        <w:tc>
          <w:tcPr>
            <w:tcW w:w="426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5F1245FB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QBI Deduction (199A)</w:t>
            </w:r>
          </w:p>
        </w:tc>
        <w:tc>
          <w:tcPr>
            <w:tcW w:w="155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5B139090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HIGH</w:t>
            </w:r>
          </w:p>
        </w:tc>
        <w:tc>
          <w:tcPr>
            <w:tcW w:w="222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189DD11C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$____________</w:t>
            </w:r>
          </w:p>
        </w:tc>
        <w:tc>
          <w:tcPr>
            <w:tcW w:w="133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796BEF1E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[  ]</w:t>
            </w:r>
          </w:p>
        </w:tc>
      </w:tr>
      <w:tr w:rsidR="00EA64C1" w14:paraId="1ACE63E4" w14:textId="77777777">
        <w:tc>
          <w:tcPr>
            <w:tcW w:w="426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5E60ADCF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R&amp;D Credit</w:t>
            </w:r>
          </w:p>
        </w:tc>
        <w:tc>
          <w:tcPr>
            <w:tcW w:w="155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3DF8D5A3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HIGH</w:t>
            </w:r>
          </w:p>
        </w:tc>
        <w:tc>
          <w:tcPr>
            <w:tcW w:w="222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0E289639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$____________</w:t>
            </w:r>
          </w:p>
        </w:tc>
        <w:tc>
          <w:tcPr>
            <w:tcW w:w="133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4617D18A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[  ]</w:t>
            </w:r>
          </w:p>
        </w:tc>
      </w:tr>
      <w:tr w:rsidR="00EA64C1" w14:paraId="79D5EEBE" w14:textId="77777777">
        <w:tc>
          <w:tcPr>
            <w:tcW w:w="426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7ADAE39D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QSBS (1202)</w:t>
            </w:r>
          </w:p>
        </w:tc>
        <w:tc>
          <w:tcPr>
            <w:tcW w:w="155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3A5AEA4F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VERY HIGH</w:t>
            </w:r>
          </w:p>
        </w:tc>
        <w:tc>
          <w:tcPr>
            <w:tcW w:w="222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4CDB9E4F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$____________</w:t>
            </w:r>
          </w:p>
        </w:tc>
        <w:tc>
          <w:tcPr>
            <w:tcW w:w="133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20550CBA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[  ]</w:t>
            </w:r>
          </w:p>
        </w:tc>
      </w:tr>
      <w:tr w:rsidR="00EA64C1" w14:paraId="2F1EA7E5" w14:textId="77777777">
        <w:tc>
          <w:tcPr>
            <w:tcW w:w="426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1F34F18D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Solo 401(k) &amp; Cash Balance</w:t>
            </w:r>
          </w:p>
        </w:tc>
        <w:tc>
          <w:tcPr>
            <w:tcW w:w="155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4D2371E2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VERY HIGH</w:t>
            </w:r>
          </w:p>
        </w:tc>
        <w:tc>
          <w:tcPr>
            <w:tcW w:w="222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63D4C5C3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$____________</w:t>
            </w:r>
          </w:p>
        </w:tc>
        <w:tc>
          <w:tcPr>
            <w:tcW w:w="133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74B3C1CC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[  ]</w:t>
            </w:r>
          </w:p>
        </w:tc>
      </w:tr>
      <w:tr w:rsidR="00EA64C1" w14:paraId="7E572253" w14:textId="77777777">
        <w:tc>
          <w:tcPr>
            <w:tcW w:w="426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461BCE8A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CRT Strategy</w:t>
            </w:r>
          </w:p>
        </w:tc>
        <w:tc>
          <w:tcPr>
            <w:tcW w:w="155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33CF4F83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VERY HIGH</w:t>
            </w:r>
          </w:p>
        </w:tc>
        <w:tc>
          <w:tcPr>
            <w:tcW w:w="222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332A2417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$____________</w:t>
            </w:r>
          </w:p>
        </w:tc>
        <w:tc>
          <w:tcPr>
            <w:tcW w:w="133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72B7557A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[  ]</w:t>
            </w:r>
          </w:p>
        </w:tc>
      </w:tr>
      <w:tr w:rsidR="00EA64C1" w14:paraId="677A4880" w14:textId="77777777">
        <w:tc>
          <w:tcPr>
            <w:tcW w:w="426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6FCCD7D7" w14:textId="77777777" w:rsidR="00EA64C1" w:rsidRDefault="00000000">
            <w:pPr>
              <w:spacing w:after="0" w:line="240" w:lineRule="auto"/>
            </w:pPr>
            <w:r>
              <w:rPr>
                <w:sz w:val="16"/>
              </w:rPr>
              <w:t>Estate &amp; Gift Exemption Planning</w:t>
            </w:r>
          </w:p>
        </w:tc>
        <w:tc>
          <w:tcPr>
            <w:tcW w:w="155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20813F87" w14:textId="77777777" w:rsidR="00EA64C1" w:rsidRDefault="00000000">
            <w:pPr>
              <w:spacing w:after="0" w:line="240" w:lineRule="auto"/>
              <w:jc w:val="center"/>
            </w:pPr>
            <w:r>
              <w:rPr>
                <w:b/>
                <w:color w:val="5EA6A5"/>
                <w:sz w:val="16"/>
              </w:rPr>
              <w:t>VERY HIGH</w:t>
            </w:r>
          </w:p>
        </w:tc>
        <w:tc>
          <w:tcPr>
            <w:tcW w:w="222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196EF197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$____________</w:t>
            </w:r>
          </w:p>
        </w:tc>
        <w:tc>
          <w:tcPr>
            <w:tcW w:w="1330" w:type="dxa"/>
            <w:tcMar>
              <w:top w:w="38" w:type="dxa"/>
              <w:left w:w="120" w:type="dxa"/>
              <w:bottom w:w="38" w:type="dxa"/>
              <w:right w:w="120" w:type="dxa"/>
            </w:tcMar>
          </w:tcPr>
          <w:p w14:paraId="5036F5A3" w14:textId="77777777" w:rsidR="00EA64C1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[  ]</w:t>
            </w:r>
          </w:p>
        </w:tc>
      </w:tr>
    </w:tbl>
    <w:p w14:paraId="593C51FB" w14:textId="1A0D4DAE" w:rsidR="00EA64C1" w:rsidRDefault="00000000">
      <w:pPr>
        <w:spacing w:before="140" w:after="0" w:line="240" w:lineRule="auto"/>
        <w:jc w:val="right"/>
      </w:pPr>
      <w:r>
        <w:rPr>
          <w:b/>
          <w:color w:val="071B3A"/>
          <w:sz w:val="18"/>
        </w:rPr>
        <w:t xml:space="preserve">TOTAL PRELIMINARY ANNUAL TAX SAVINGS: </w:t>
      </w:r>
      <w:r>
        <w:rPr>
          <w:b/>
          <w:color w:val="5EA6A5"/>
          <w:sz w:val="20"/>
        </w:rPr>
        <w:t>$____________________</w:t>
      </w:r>
    </w:p>
    <w:p w14:paraId="7A21F135" w14:textId="77777777" w:rsidR="00EA64C1" w:rsidRDefault="00000000">
      <w:pPr>
        <w:pStyle w:val="KismetSmall"/>
        <w:spacing w:before="120" w:after="0"/>
      </w:pPr>
      <w:r>
        <w:t>Potential denotes general opportunity level, not a projected dollar outcome. Consider reduction in tax, cash-flow timing, compliance cost, and business purpose before ranking a move as recommended.</w:t>
      </w:r>
    </w:p>
    <w:p w14:paraId="032F7518" w14:textId="75CE535F" w:rsidR="00EA64C1" w:rsidRDefault="00EA64C1"/>
    <w:sectPr w:rsidR="00EA64C1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FFB5" w14:textId="77777777" w:rsidR="00F00777" w:rsidRDefault="00F00777">
      <w:pPr>
        <w:spacing w:after="0" w:line="240" w:lineRule="auto"/>
      </w:pPr>
      <w:r>
        <w:separator/>
      </w:r>
    </w:p>
  </w:endnote>
  <w:endnote w:type="continuationSeparator" w:id="0">
    <w:p w14:paraId="36C27DDA" w14:textId="77777777" w:rsidR="00F00777" w:rsidRDefault="00F0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E4835" w14:textId="77777777" w:rsidR="00EA64C1" w:rsidRDefault="00000000">
    <w:pPr>
      <w:pStyle w:val="Footer"/>
      <w:tabs>
        <w:tab w:val="left" w:pos="9360"/>
      </w:tabs>
    </w:pPr>
    <w:r>
      <w:rPr>
        <w:color w:val="5D6B82"/>
        <w:sz w:val="15"/>
      </w:rPr>
      <w:t>Kismet Venture Management | Confidential planning reference</w:t>
    </w:r>
    <w:r>
      <w:tab/>
    </w:r>
    <w:r>
      <w:rPr>
        <w:color w:val="5D6B82"/>
        <w:sz w:val="15"/>
      </w:rPr>
      <w:t xml:space="preserve">Page </w:t>
    </w:r>
    <w:r>
      <w:rPr>
        <w:color w:val="5D6B82"/>
        <w:sz w:val="15"/>
      </w:rPr>
      <w:fldChar w:fldCharType="begin"/>
    </w:r>
    <w:r>
      <w:rPr>
        <w:color w:val="5D6B82"/>
        <w:sz w:val="15"/>
      </w:rPr>
      <w:instrText>PAGE</w:instrText>
    </w:r>
    <w:r>
      <w:rPr>
        <w:color w:val="5D6B82"/>
        <w:sz w:val="15"/>
      </w:rPr>
      <w:fldChar w:fldCharType="separate"/>
    </w:r>
    <w:r>
      <w:rPr>
        <w:color w:val="5D6B82"/>
        <w:sz w:val="15"/>
      </w:rPr>
      <w:t>1</w:t>
    </w:r>
    <w:r>
      <w:rPr>
        <w:color w:val="5D6B82"/>
        <w:sz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2D0C2" w14:textId="77777777" w:rsidR="00EA64C1" w:rsidRDefault="00EA64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C761E" w14:textId="77777777" w:rsidR="00F00777" w:rsidRDefault="00F00777">
      <w:pPr>
        <w:spacing w:after="0" w:line="240" w:lineRule="auto"/>
      </w:pPr>
      <w:r>
        <w:separator/>
      </w:r>
    </w:p>
  </w:footnote>
  <w:footnote w:type="continuationSeparator" w:id="0">
    <w:p w14:paraId="298CA320" w14:textId="77777777" w:rsidR="00F00777" w:rsidRDefault="00F00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E987" w14:textId="77777777" w:rsidR="00EA64C1" w:rsidRDefault="00000000">
    <w:pPr>
      <w:pStyle w:val="Header"/>
      <w:tabs>
        <w:tab w:val="left" w:pos="9360"/>
      </w:tabs>
    </w:pPr>
    <w:proofErr w:type="gramStart"/>
    <w:r>
      <w:rPr>
        <w:b/>
        <w:color w:val="071B3A"/>
        <w:sz w:val="18"/>
      </w:rPr>
      <w:t>KISMET</w:t>
    </w:r>
    <w:r>
      <w:rPr>
        <w:b/>
        <w:color w:val="5EA6A5"/>
        <w:sz w:val="16"/>
      </w:rPr>
      <w:t xml:space="preserve">  VENTURE</w:t>
    </w:r>
    <w:proofErr w:type="gramEnd"/>
    <w:r>
      <w:rPr>
        <w:b/>
        <w:color w:val="5EA6A5"/>
        <w:sz w:val="16"/>
      </w:rPr>
      <w:t xml:space="preserve"> MANAGEMENT</w:t>
    </w:r>
    <w:r>
      <w:tab/>
    </w:r>
    <w:r>
      <w:rPr>
        <w:b/>
        <w:color w:val="5D6B82"/>
        <w:sz w:val="15"/>
      </w:rPr>
      <w:t>TAX PLANNING STRATEGY REPORT | TY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9588" w14:textId="77777777" w:rsidR="00EA64C1" w:rsidRDefault="00EA64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9835551">
    <w:abstractNumId w:val="8"/>
  </w:num>
  <w:num w:numId="2" w16cid:durableId="1701708571">
    <w:abstractNumId w:val="6"/>
  </w:num>
  <w:num w:numId="3" w16cid:durableId="85805144">
    <w:abstractNumId w:val="5"/>
  </w:num>
  <w:num w:numId="4" w16cid:durableId="2103984594">
    <w:abstractNumId w:val="4"/>
  </w:num>
  <w:num w:numId="5" w16cid:durableId="1119833510">
    <w:abstractNumId w:val="7"/>
  </w:num>
  <w:num w:numId="6" w16cid:durableId="932014862">
    <w:abstractNumId w:val="3"/>
  </w:num>
  <w:num w:numId="7" w16cid:durableId="1383554150">
    <w:abstractNumId w:val="2"/>
  </w:num>
  <w:num w:numId="8" w16cid:durableId="722291652">
    <w:abstractNumId w:val="1"/>
  </w:num>
  <w:num w:numId="9" w16cid:durableId="126584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87A"/>
    <w:rsid w:val="00034616"/>
    <w:rsid w:val="0006063C"/>
    <w:rsid w:val="000812C7"/>
    <w:rsid w:val="0015074B"/>
    <w:rsid w:val="001E7934"/>
    <w:rsid w:val="0020247E"/>
    <w:rsid w:val="0029639D"/>
    <w:rsid w:val="003226DE"/>
    <w:rsid w:val="00326F90"/>
    <w:rsid w:val="004941A8"/>
    <w:rsid w:val="004B58AC"/>
    <w:rsid w:val="005469C3"/>
    <w:rsid w:val="006E15B0"/>
    <w:rsid w:val="007615F6"/>
    <w:rsid w:val="00942C30"/>
    <w:rsid w:val="00971D7C"/>
    <w:rsid w:val="00AA1D8D"/>
    <w:rsid w:val="00B139E4"/>
    <w:rsid w:val="00B47730"/>
    <w:rsid w:val="00C77BB0"/>
    <w:rsid w:val="00CB0664"/>
    <w:rsid w:val="00E30871"/>
    <w:rsid w:val="00EA64C1"/>
    <w:rsid w:val="00F007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2B2DEC"/>
  <w14:defaultImageDpi w14:val="300"/>
  <w15:docId w15:val="{ADB2F059-3274-49B1-A253-B8767F94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B0"/>
    <w:pPr>
      <w:spacing w:after="120" w:line="300" w:lineRule="auto"/>
    </w:pPr>
    <w:rPr>
      <w:rFonts w:ascii="Calibri" w:hAnsi="Calibri"/>
      <w:color w:val="0B173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/>
      <w:b/>
      <w:bCs/>
      <w:color w:val="071B3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 w:line="240" w:lineRule="auto"/>
      <w:outlineLvl w:val="1"/>
    </w:pPr>
    <w:rPr>
      <w:rFonts w:asciiTheme="majorHAnsi" w:eastAsiaTheme="majorEastAsia" w:hAnsiTheme="majorHAnsi" w:cstheme="majorBidi"/>
      <w:b/>
      <w:bCs/>
      <w:color w:val="1C5BFF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0B224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4" w:lineRule="auto"/>
      <w:ind w:left="540" w:hanging="271"/>
      <w:contextualSpacing/>
    </w:pPr>
    <w:rPr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smetEyebrow">
    <w:name w:val="Kismet Eyebrow"/>
    <w:pPr>
      <w:spacing w:after="80" w:line="240" w:lineRule="auto"/>
    </w:pPr>
    <w:rPr>
      <w:rFonts w:ascii="Calibri" w:hAnsi="Calibri"/>
      <w:b/>
      <w:color w:val="5EA6A5"/>
      <w:sz w:val="18"/>
    </w:rPr>
  </w:style>
  <w:style w:type="paragraph" w:customStyle="1" w:styleId="KismetCoverTitle">
    <w:name w:val="Kismet Cover Title"/>
    <w:pPr>
      <w:spacing w:after="120" w:line="240" w:lineRule="auto"/>
    </w:pPr>
    <w:rPr>
      <w:rFonts w:ascii="Calibri" w:hAnsi="Calibri"/>
      <w:b/>
      <w:color w:val="071B3A"/>
      <w:sz w:val="56"/>
    </w:rPr>
  </w:style>
  <w:style w:type="paragraph" w:customStyle="1" w:styleId="KismetCoverSubtitle">
    <w:name w:val="Kismet Cover Subtitle"/>
    <w:pPr>
      <w:spacing w:after="140" w:line="264" w:lineRule="auto"/>
    </w:pPr>
    <w:rPr>
      <w:rFonts w:ascii="Calibri" w:hAnsi="Calibri"/>
      <w:color w:val="5D6B82"/>
      <w:sz w:val="28"/>
    </w:rPr>
  </w:style>
  <w:style w:type="paragraph" w:customStyle="1" w:styleId="KismetSmall">
    <w:name w:val="Kismet Small"/>
    <w:pPr>
      <w:spacing w:after="40" w:line="240" w:lineRule="auto"/>
    </w:pPr>
    <w:rPr>
      <w:rFonts w:ascii="Calibri" w:hAnsi="Calibri"/>
      <w:color w:val="5D6B82"/>
      <w:sz w:val="16"/>
    </w:rPr>
  </w:style>
  <w:style w:type="paragraph" w:customStyle="1" w:styleId="KismetStrategyBody">
    <w:name w:val="Kismet Strategy Body"/>
    <w:pPr>
      <w:spacing w:after="60" w:line="254" w:lineRule="auto"/>
    </w:pPr>
    <w:rPr>
      <w:rFonts w:ascii="Calibri" w:hAnsi="Calibri"/>
      <w:color w:val="0B1730"/>
      <w:sz w:val="19"/>
    </w:rPr>
  </w:style>
  <w:style w:type="paragraph" w:customStyle="1" w:styleId="KismetTable">
    <w:name w:val="Kismet Table"/>
    <w:pPr>
      <w:spacing w:after="0" w:line="240" w:lineRule="auto"/>
    </w:pPr>
    <w:rPr>
      <w:rFonts w:ascii="Calibri" w:hAnsi="Calibri"/>
      <w:color w:val="0B1730"/>
      <w:sz w:val="17"/>
    </w:rPr>
  </w:style>
  <w:style w:type="paragraph" w:customStyle="1" w:styleId="KismetTableHeader">
    <w:name w:val="Kismet Table Header"/>
    <w:pPr>
      <w:spacing w:after="0" w:line="240" w:lineRule="auto"/>
    </w:pPr>
    <w:rPr>
      <w:rFonts w:ascii="Calibri" w:hAnsi="Calibri"/>
      <w:b/>
      <w:color w:val="FFFFFF"/>
      <w:sz w:val="16"/>
    </w:rPr>
  </w:style>
  <w:style w:type="paragraph" w:customStyle="1" w:styleId="KismetCallout">
    <w:name w:val="Kismet Callout"/>
    <w:pPr>
      <w:spacing w:after="0" w:line="252" w:lineRule="auto"/>
    </w:pPr>
    <w:rPr>
      <w:rFonts w:ascii="Calibri" w:hAnsi="Calibri"/>
      <w:color w:val="0B173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Kismet Venture Management Tax Planning Strategy Report | Tax Year 2026</dc:title>
  <dc:subject>Editable tax planning strategy reference</dc:subject>
  <dc:creator>Kismet Venture Management</dc:creator>
  <cp:keywords>Tax Planning, 2026, Kismet Venture Management</cp:keywords>
  <dc:description>generated by python-docx</dc:description>
  <cp:lastModifiedBy>Meghan Lape</cp:lastModifiedBy>
  <cp:revision>3</cp:revision>
  <dcterms:created xsi:type="dcterms:W3CDTF">2026-08-10T19:05:00Z</dcterms:created>
  <dcterms:modified xsi:type="dcterms:W3CDTF">2026-08-10T19:06:00Z</dcterms:modified>
  <cp:category/>
</cp:coreProperties>
</file>